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ED" w:rsidRPr="007F0A52" w:rsidRDefault="007F0A52" w:rsidP="007F0A5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b/>
          <w:sz w:val="26"/>
          <w:szCs w:val="26"/>
          <w:lang w:val="en-US"/>
        </w:rPr>
        <w:t>The lecture</w:t>
      </w:r>
    </w:p>
    <w:p w:rsidR="007F0A52" w:rsidRPr="007F0A52" w:rsidRDefault="007F0A52" w:rsidP="007F0A5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b/>
          <w:sz w:val="26"/>
          <w:szCs w:val="26"/>
          <w:lang w:val="en-US"/>
        </w:rPr>
        <w:t>Fundamentals of numerical optimization</w:t>
      </w:r>
    </w:p>
    <w:p w:rsidR="007F0A52" w:rsidRPr="007F0A52" w:rsidRDefault="007F0A52" w:rsidP="007F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b/>
          <w:bCs/>
          <w:sz w:val="26"/>
          <w:szCs w:val="26"/>
          <w:lang w:val="en-US"/>
        </w:rPr>
        <w:t>Calculus-defined optimality</w:t>
      </w:r>
    </w:p>
    <w:p w:rsidR="007F0A52" w:rsidRDefault="007F0A52" w:rsidP="007F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sz w:val="26"/>
          <w:szCs w:val="26"/>
          <w:lang w:val="en-US"/>
        </w:rPr>
        <w:t>In this section we briefly review how calculus is used to describe the local geometry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a function, as well as its minima or lowest points. As we will see later in the chapter,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powerful numerical algorithms can be built using these simple concepts.</w:t>
      </w:r>
    </w:p>
    <w:p w:rsidR="007F0A52" w:rsidRDefault="007F0A52" w:rsidP="007F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F0A52" w:rsidRPr="007F0A52" w:rsidRDefault="007F0A52" w:rsidP="007F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b/>
          <w:sz w:val="26"/>
          <w:szCs w:val="26"/>
          <w:lang w:val="en-US"/>
        </w:rPr>
        <w:t>Taylor series approximations</w:t>
      </w:r>
    </w:p>
    <w:p w:rsidR="007F0A52" w:rsidRDefault="007F0A52" w:rsidP="007F0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F0A52">
        <w:rPr>
          <w:rFonts w:ascii="Times New Roman" w:hAnsi="Times New Roman" w:cs="Times New Roman"/>
          <w:sz w:val="26"/>
          <w:szCs w:val="26"/>
          <w:lang w:val="en-US"/>
        </w:rPr>
        <w:t>To glean some basic insight regarding the geometry of a many times differentiable function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 xml:space="preserve">near a point 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 xml:space="preserve">we may form a 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linear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approximation to the function near this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 xml:space="preserve">point. This is just a tangent line passing through the point 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))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, as illustrated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 xml:space="preserve">Fig. 2.1, which contains the first derivative information 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7F0A52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7F0A52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sz w:val="26"/>
          <w:szCs w:val="26"/>
          <w:lang w:val="en-US"/>
        </w:rPr>
        <w:t>Such a linear approximation (also known as a first order Taylor series) is written 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0A52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61151" cy="266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30" cy="2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3B" w:rsidRP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Note that indeed this function is </w:t>
      </w:r>
      <w:r w:rsidRPr="00242A3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a)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linear in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242A3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b)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tangent to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) at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since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 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and because it contains the first derivative information of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at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i.e.,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h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. This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linear approximation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holds particularly well near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because the derivative contains slope</w:t>
      </w:r>
      <w:r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information.</w:t>
      </w:r>
    </w:p>
    <w:p w:rsidR="007F0A52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To understand even more about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near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we may form a quadratic approximation (also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illustrated in Fig. 2.1) that contains both first and second derivative information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. This quadratic, referred to as the second order Taylor series approximation,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is written as</w:t>
      </w: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114675" cy="4251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52" cy="4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933825" cy="1832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22" cy="18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3B" w:rsidRPr="00242A3B" w:rsidRDefault="00242A3B" w:rsidP="0024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42A3B">
        <w:rPr>
          <w:rFonts w:ascii="Times New Roman" w:hAnsi="Times New Roman" w:cs="Times New Roman"/>
          <w:sz w:val="20"/>
          <w:szCs w:val="20"/>
          <w:lang w:val="en-US"/>
        </w:rPr>
        <w:t xml:space="preserve">Linear (in green) and quadratic (in blue) approximations to a differentiable function 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 </w:t>
      </w:r>
      <w:r w:rsidRPr="00242A3B">
        <w:rPr>
          <w:rFonts w:ascii="Times New Roman" w:eastAsia="RMTMI" w:hAnsi="Times New Roman" w:cs="Times New Roman"/>
          <w:i/>
          <w:iCs/>
          <w:sz w:val="20"/>
          <w:szCs w:val="20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>w</w:t>
      </w:r>
      <w:r w:rsidRPr="00242A3B">
        <w:rPr>
          <w:rFonts w:ascii="Times New Roman" w:eastAsia="RMTMI" w:hAnsi="Times New Roman" w:cs="Times New Roman"/>
          <w:i/>
          <w:iCs/>
          <w:sz w:val="20"/>
          <w:szCs w:val="20"/>
          <w:lang w:val="en-US"/>
        </w:rPr>
        <w:t xml:space="preserve">) </w:t>
      </w:r>
      <w:r w:rsidRPr="00242A3B">
        <w:rPr>
          <w:rFonts w:ascii="Times New Roman" w:hAnsi="Times New Roman" w:cs="Times New Roman"/>
          <w:sz w:val="20"/>
          <w:szCs w:val="20"/>
          <w:lang w:val="en-US"/>
        </w:rPr>
        <w:t>at two</w:t>
      </w:r>
    </w:p>
    <w:p w:rsidR="00242A3B" w:rsidRPr="00242A3B" w:rsidRDefault="00242A3B" w:rsidP="0024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42A3B">
        <w:rPr>
          <w:rFonts w:ascii="Times New Roman" w:hAnsi="Times New Roman" w:cs="Times New Roman"/>
          <w:sz w:val="20"/>
          <w:szCs w:val="20"/>
          <w:lang w:val="en-US"/>
        </w:rPr>
        <w:t xml:space="preserve">points: 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 </w:t>
      </w:r>
      <w:r w:rsidRPr="00242A3B">
        <w:rPr>
          <w:rFonts w:ascii="Times New Roman" w:eastAsia="MTSYN" w:hAnsi="Times New Roman" w:cs="Times New Roman"/>
          <w:sz w:val="20"/>
          <w:szCs w:val="20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u </w:t>
      </w:r>
      <w:r w:rsidRPr="00242A3B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 </w:t>
      </w:r>
      <w:r w:rsidRPr="00242A3B">
        <w:rPr>
          <w:rFonts w:ascii="Times New Roman" w:eastAsia="MTSYN" w:hAnsi="Times New Roman" w:cs="Times New Roman"/>
          <w:sz w:val="20"/>
          <w:szCs w:val="20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242A3B">
        <w:rPr>
          <w:rFonts w:ascii="Times New Roman" w:hAnsi="Times New Roman" w:cs="Times New Roman"/>
          <w:sz w:val="20"/>
          <w:szCs w:val="20"/>
          <w:lang w:val="en-US"/>
        </w:rPr>
        <w:t>. Often these linear and quadratic approximations are equivalently</w:t>
      </w: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42A3B">
        <w:rPr>
          <w:rFonts w:ascii="Times New Roman" w:hAnsi="Times New Roman" w:cs="Times New Roman"/>
          <w:sz w:val="20"/>
          <w:szCs w:val="20"/>
          <w:lang w:val="en-US"/>
        </w:rPr>
        <w:t>referred to as first and second order Taylor series approximations, respectively.</w:t>
      </w: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sz w:val="26"/>
          <w:szCs w:val="26"/>
          <w:lang w:val="en-US"/>
        </w:rPr>
        <w:t>This quadratic contains the same tangency and first order information of the linear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approximation (i.e.,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h 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h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) with additional second order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derivative information as well at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near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since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h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’’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. The second order Taylor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series approximation more closely resembles the underlying function around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because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the second derivative contains so-called curvature information.</w:t>
      </w:r>
      <w:r w:rsidR="00C774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We may likewise define linear and quadratic approximations for a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many time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 differentiable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function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242A3B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r w:rsidRPr="00242A3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of vector valued input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w=[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]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general,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we may formally write the linear approximation 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11705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where </w:t>
      </w: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190875" cy="371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42A3B">
        <w:rPr>
          <w:rFonts w:ascii="Times New Roman" w:hAnsi="Times New Roman" w:cs="Times New Roman"/>
          <w:sz w:val="26"/>
          <w:szCs w:val="26"/>
          <w:lang w:val="en-US"/>
        </w:rPr>
        <w:t>We may also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generally write the quadratic approximation 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939590" cy="37147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790" cy="37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where </w:t>
      </w:r>
      <w:r w:rsidRPr="00242A3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46497" cy="25717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0" cy="2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 xml:space="preserve">is the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242A3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× </w:t>
      </w:r>
      <w:r w:rsidRPr="00242A3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242A3B">
        <w:rPr>
          <w:rFonts w:ascii="Times New Roman" w:hAnsi="Times New Roman" w:cs="Times New Roman"/>
          <w:sz w:val="26"/>
          <w:szCs w:val="26"/>
          <w:lang w:val="en-US"/>
        </w:rPr>
        <w:t>symmetric Hessian matrix of second derivatives (which is</w:t>
      </w:r>
      <w:r w:rsidR="00C774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just the second derivative</w:t>
      </w:r>
      <w:r w:rsidR="00C774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744B" w:rsidRPr="00C7744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174750" cy="285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34" cy="28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744B"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when </w:t>
      </w:r>
      <w:r w:rsidR="00C7744B"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="00C7744B" w:rsidRPr="00C7744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="00C7744B" w:rsidRPr="00C7744B">
        <w:rPr>
          <w:rFonts w:ascii="Times New Roman" w:hAnsi="Times New Roman" w:cs="Times New Roman"/>
          <w:sz w:val="26"/>
          <w:szCs w:val="26"/>
          <w:lang w:val="en-US"/>
        </w:rPr>
        <w:t>1) defined as</w:t>
      </w:r>
      <w:r w:rsidR="00C774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7744B" w:rsidRDefault="00C7744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7744B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3952875" cy="1076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4B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7744B" w:rsidRPr="00C7744B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7744B">
        <w:rPr>
          <w:rFonts w:ascii="Times New Roman" w:hAnsi="Times New Roman" w:cs="Times New Roman"/>
          <w:b/>
          <w:sz w:val="26"/>
          <w:szCs w:val="26"/>
          <w:lang w:val="en-US"/>
        </w:rPr>
        <w:t>The first order condition for optimality</w:t>
      </w:r>
    </w:p>
    <w:p w:rsidR="00C7744B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Minimum values of a function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are naturally located at “valley floors” where the line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or hyperplane tangent to the function has zero slope. Because the derivative/gradient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contains this slope information, calculus thereby provides a convenient way of finding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minimum values of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. In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C7744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1 dimension any point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where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C7744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0 is a potential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minimum. Analogously with general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-dimensional input any point </w:t>
      </w:r>
      <w:r w:rsidRPr="00C7744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where </w:t>
      </w:r>
      <w:r w:rsidRPr="00C7744B">
        <w:rPr>
          <w:rFonts w:ascii="Cambria Math" w:eastAsia="MTSYN" w:hAnsi="Cambria Math" w:cs="Cambria Math"/>
          <w:sz w:val="26"/>
          <w:szCs w:val="26"/>
          <w:lang w:val="en-US"/>
        </w:rPr>
        <w:t>∇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C7744B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C7744B">
        <w:rPr>
          <w:rFonts w:ascii="Times New Roman" w:eastAsia="MTSYN" w:hAnsi="Times New Roman" w:cs="Times New Roman"/>
          <w:sz w:val="26"/>
          <w:szCs w:val="26"/>
          <w:lang w:val="en-US"/>
        </w:rPr>
        <w:t>=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b/>
          <w:bCs/>
          <w:sz w:val="26"/>
          <w:szCs w:val="26"/>
          <w:lang w:val="en-US"/>
        </w:rPr>
        <w:t>0</w:t>
      </w:r>
      <w:r w:rsidRPr="00C7744B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N</w:t>
      </w:r>
      <w:r w:rsidRPr="00C7744B">
        <w:rPr>
          <w:rFonts w:ascii="Times New Roman" w:eastAsia="MTSYN" w:hAnsi="Times New Roman" w:cs="Times New Roman"/>
          <w:sz w:val="26"/>
          <w:szCs w:val="26"/>
          <w:vertAlign w:val="subscript"/>
          <w:lang w:val="en-US"/>
        </w:rPr>
        <w:t>×</w:t>
      </w:r>
      <w:r w:rsidRPr="00C774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1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is a potential minimum as well. Note that the condition </w:t>
      </w:r>
      <w:r w:rsidRPr="00C7744B">
        <w:rPr>
          <w:rFonts w:ascii="Cambria Math" w:eastAsia="MTSYN" w:hAnsi="Cambria Math" w:cs="Cambria Math"/>
          <w:sz w:val="26"/>
          <w:szCs w:val="26"/>
          <w:lang w:val="en-US"/>
        </w:rPr>
        <w:t>∇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C7744B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C7744B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C7744B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C7744B">
        <w:rPr>
          <w:rFonts w:ascii="Times New Roman" w:hAnsi="Times New Roman" w:cs="Times New Roman"/>
          <w:b/>
          <w:bCs/>
          <w:sz w:val="26"/>
          <w:szCs w:val="26"/>
          <w:lang w:val="en-US"/>
        </w:rPr>
        <w:t>0</w:t>
      </w:r>
      <w:r w:rsidRPr="00C7744B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N</w:t>
      </w:r>
      <w:r w:rsidRPr="00C7744B">
        <w:rPr>
          <w:rFonts w:ascii="Times New Roman" w:eastAsia="MTSYN" w:hAnsi="Times New Roman" w:cs="Times New Roman"/>
          <w:sz w:val="26"/>
          <w:szCs w:val="26"/>
          <w:vertAlign w:val="subscript"/>
          <w:lang w:val="en-US"/>
        </w:rPr>
        <w:t>×</w:t>
      </w:r>
      <w:r w:rsidRPr="00C7744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1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can be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 xml:space="preserve">equivalently written as a system of </w:t>
      </w:r>
      <w:r w:rsidRPr="00C7744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C7744B">
        <w:rPr>
          <w:rFonts w:ascii="Times New Roman" w:hAnsi="Times New Roman" w:cs="Times New Roman"/>
          <w:sz w:val="26"/>
          <w:szCs w:val="26"/>
          <w:lang w:val="en-US"/>
        </w:rPr>
        <w:t>equations:</w:t>
      </w:r>
    </w:p>
    <w:p w:rsidR="00C7744B" w:rsidRDefault="00C7744B" w:rsidP="00543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7744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790575" cy="11700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4" cy="117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4B" w:rsidRDefault="00C7744B" w:rsidP="00543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7744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429250" cy="28414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28" cy="284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4B" w:rsidRPr="00543237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However, for a </w:t>
      </w:r>
      <w:proofErr w:type="gramStart"/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general function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minima</w:t>
      </w:r>
      <w:proofErr w:type="gramEnd"/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 are not the only points that satisfy this condition.</w:t>
      </w:r>
    </w:p>
    <w:p w:rsidR="00C7744B" w:rsidRPr="00543237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sz w:val="26"/>
          <w:szCs w:val="26"/>
          <w:lang w:val="en-US"/>
        </w:rPr>
        <w:t>As illustrated in Fig. 2.2, a function’s maxima as well as saddle points (i.e., points at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which the curvature of the function changes from negative to positive or vice-versa) are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also points at which the function has a vanishing gradient. Together minima, maxima,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and saddle points are referred to as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stationary points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of a function.</w:t>
      </w:r>
    </w:p>
    <w:p w:rsidR="00C7744B" w:rsidRDefault="00C7744B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sz w:val="26"/>
          <w:szCs w:val="26"/>
          <w:lang w:val="en-US"/>
        </w:rPr>
        <w:t>In short, while calculus provides us with a useful method for determining minima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of a general function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, this method unfortunately determines other undesirable points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(maxima and saddle points) as well.1 Regardless, as we will see later in this chapter the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condition </w:t>
      </w:r>
      <w:r w:rsidRPr="00543237">
        <w:rPr>
          <w:rFonts w:ascii="Cambria Math" w:eastAsia="MTSYN" w:hAnsi="Cambria Math" w:cs="Cambria Math"/>
          <w:sz w:val="26"/>
          <w:szCs w:val="26"/>
          <w:lang w:val="en-US"/>
        </w:rPr>
        <w:t>∇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43237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= 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>0</w:t>
      </w:r>
      <w:r w:rsidRPr="00543237">
        <w:rPr>
          <w:rFonts w:ascii="Times New Roman" w:hAnsi="Times New Roman" w:cs="Times New Roman"/>
          <w:i/>
          <w:iCs/>
          <w:sz w:val="26"/>
          <w:szCs w:val="26"/>
          <w:vertAlign w:val="subscript"/>
          <w:lang w:val="en-US"/>
        </w:rPr>
        <w:t>N</w:t>
      </w:r>
      <w:r w:rsidRPr="00543237">
        <w:rPr>
          <w:rFonts w:ascii="Times New Roman" w:eastAsia="MTSYN" w:hAnsi="Times New Roman" w:cs="Times New Roman"/>
          <w:sz w:val="26"/>
          <w:szCs w:val="26"/>
          <w:vertAlign w:val="subscript"/>
          <w:lang w:val="en-US"/>
        </w:rPr>
        <w:t>×</w:t>
      </w:r>
      <w:r w:rsidRPr="00543237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1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is a hugely important tool for determining minima, generally</w:t>
      </w:r>
      <w:r w:rsid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referred to as the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first order condition for optimality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, or in short the first order condition.</w:t>
      </w:r>
    </w:p>
    <w:p w:rsidR="00543237" w:rsidRDefault="00543237" w:rsidP="00C7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43237" w:rsidRPr="00543237" w:rsidRDefault="00543237" w:rsidP="0054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b/>
          <w:sz w:val="26"/>
          <w:szCs w:val="26"/>
          <w:lang w:val="en-US"/>
        </w:rPr>
        <w:t>The convenience of convexity</w:t>
      </w:r>
    </w:p>
    <w:p w:rsidR="00543237" w:rsidRPr="00543237" w:rsidRDefault="00543237" w:rsidP="0054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olving a machine learning problem eventually reduces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finding the minimum of an associated cost function. Of all (potentially many) minima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a cost function, we are especially interested in the one that provides the lowest possible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value of the function, known as the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global minimum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. For a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lastRenderedPageBreak/>
        <w:t>special family of functions,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referred to as convex functions, the first order condition is particularly useful because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all stationary points of a convex function are global minima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. In other words, convex</w:t>
      </w:r>
    </w:p>
    <w:p w:rsidR="00543237" w:rsidRPr="00543237" w:rsidRDefault="00543237" w:rsidP="0054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sz w:val="26"/>
          <w:szCs w:val="26"/>
          <w:lang w:val="en-US"/>
        </w:rPr>
        <w:t>functions are free of maxima and saddle points as well as non-global minima.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To determine if a function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convex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(facing upward) or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concave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(facing downward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at a point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v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we check its curvature or second derivative information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there</w:t>
      </w:r>
    </w:p>
    <w:p w:rsidR="00543237" w:rsidRDefault="00543237" w:rsidP="00543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314575" cy="419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37" w:rsidRDefault="00543237" w:rsidP="0054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Here, if a statement on one side of the symbol </w:t>
      </w:r>
      <w:r w:rsidRPr="00543237">
        <w:rPr>
          <w:rFonts w:ascii="Cambria Math" w:eastAsia="MS Gothic" w:hAnsi="Cambria Math" w:cs="Cambria Math"/>
          <w:sz w:val="26"/>
          <w:szCs w:val="26"/>
          <w:lang w:val="en-US"/>
        </w:rPr>
        <w:t>⇐</w:t>
      </w:r>
      <w:r w:rsidRPr="00543237">
        <w:rPr>
          <w:rFonts w:ascii="Cambria Math" w:eastAsia="Malgun Gothic" w:hAnsi="Cambria Math" w:cs="Cambria Math"/>
          <w:sz w:val="26"/>
          <w:szCs w:val="26"/>
          <w:lang w:val="en-US"/>
        </w:rPr>
        <w:t>⇒</w:t>
      </w:r>
      <w:r w:rsidRPr="00543237">
        <w:rPr>
          <w:rFonts w:ascii="Times New Roman" w:eastAsia="MTSY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(which reads “if and only if”) 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true then the statement on the other side is true as well (likewise if one is false then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the other is false as well). Similarly, for general </w:t>
      </w:r>
      <w:proofErr w:type="spellStart"/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an</w:t>
      </w:r>
      <w:proofErr w:type="spellEnd"/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 analogous statement can be made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regarding the eigenvalues of </w:t>
      </w:r>
      <w:r w:rsidRPr="00543237">
        <w:rPr>
          <w:rFonts w:ascii="Cambria Math" w:eastAsia="MTSYN" w:hAnsi="Cambria Math" w:cs="Cambria Math"/>
          <w:sz w:val="26"/>
          <w:szCs w:val="26"/>
          <w:lang w:val="en-US"/>
        </w:rPr>
        <w:t>∇</w:t>
      </w:r>
      <w:r w:rsidRPr="00543237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)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, i.e.,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is convex (or concave) at 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v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if and only if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Hessian matrix evaluated at this point has all non-negative (or non-positive)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eigenvalues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in which case the Hessian is called positive semi-definite (or negative semi-definite).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Based on this rule,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is convex everywhere, a convex function, if its second derivative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g</w:t>
      </w:r>
      <w:r>
        <w:rPr>
          <w:rFonts w:ascii="Times New Roman" w:eastAsia="MTSYN" w:hAnsi="Times New Roman" w:cs="Times New Roman"/>
          <w:sz w:val="26"/>
          <w:szCs w:val="26"/>
          <w:lang w:val="en-US"/>
        </w:rPr>
        <w:t>’’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>w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is always non-negative.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Likewise,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 xml:space="preserve">is convex if </w:t>
      </w:r>
      <w:r w:rsidRPr="00543237">
        <w:rPr>
          <w:rFonts w:ascii="Cambria Math" w:eastAsia="MTSYN" w:hAnsi="Cambria Math" w:cs="Cambria Math"/>
          <w:sz w:val="26"/>
          <w:szCs w:val="26"/>
          <w:lang w:val="en-US"/>
        </w:rPr>
        <w:t>∇</w:t>
      </w:r>
      <w:r w:rsidRPr="00543237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54323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g 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>(</w:t>
      </w:r>
      <w:r w:rsidRPr="00543237">
        <w:rPr>
          <w:rFonts w:ascii="Times New Roman" w:hAnsi="Times New Roman" w:cs="Times New Roman"/>
          <w:b/>
          <w:bCs/>
          <w:sz w:val="26"/>
          <w:szCs w:val="26"/>
          <w:lang w:val="en-US"/>
        </w:rPr>
        <w:t>w</w:t>
      </w:r>
      <w:r w:rsidRPr="00543237">
        <w:rPr>
          <w:rFonts w:ascii="Times New Roman" w:eastAsia="RMTMI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always has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43237">
        <w:rPr>
          <w:rFonts w:ascii="Times New Roman" w:hAnsi="Times New Roman" w:cs="Times New Roman"/>
          <w:sz w:val="26"/>
          <w:szCs w:val="26"/>
          <w:lang w:val="en-US"/>
        </w:rPr>
        <w:t>non-negative eigenvalues.</w:t>
      </w:r>
    </w:p>
    <w:p w:rsidR="00543237" w:rsidRPr="00543237" w:rsidRDefault="00543237" w:rsidP="00543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42A3B" w:rsidRPr="00242A3B" w:rsidRDefault="00242A3B" w:rsidP="0024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42A3B" w:rsidRPr="00242A3B" w:rsidSect="007F0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MT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2"/>
    <w:rsid w:val="00156CED"/>
    <w:rsid w:val="00242A3B"/>
    <w:rsid w:val="00543237"/>
    <w:rsid w:val="007F0A52"/>
    <w:rsid w:val="00C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1BC"/>
  <w15:chartTrackingRefBased/>
  <w15:docId w15:val="{8EBC46A8-6A8E-454C-AFD6-E0D4156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2019-03-26T04:25:00Z</dcterms:created>
  <dcterms:modified xsi:type="dcterms:W3CDTF">2019-03-26T05:18:00Z</dcterms:modified>
</cp:coreProperties>
</file>